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The Big Quiz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6q14p930q27r" w:id="1"/>
      <w:bookmarkEnd w:id="1"/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Your task is to now add more questions and functionality to your big quiz program.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You must work independently to complete the tasks. When you complete the task, take a screenshot of only the new subroutine, or blocks you have added to solve each problem.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Open the following Scratch program and select </w:t>
      </w:r>
      <w:r w:rsidDel="00000000" w:rsidR="00000000" w:rsidRPr="00000000">
        <w:rPr>
          <w:b w:val="1"/>
          <w:rtl w:val="0"/>
        </w:rPr>
        <w:t xml:space="preserve">See inside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ncce.io/bigquiz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5340"/>
        <w:tblGridChange w:id="0">
          <w:tblGrid>
            <w:gridCol w:w="3660"/>
            <w:gridCol w:w="534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Task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Screenshot of your code </w:t>
            </w:r>
            <w:r w:rsidDel="00000000" w:rsidR="00000000" w:rsidRPr="00000000">
              <w:rPr>
                <w:highlight w:val="white"/>
                <w:rtl w:val="0"/>
              </w:rPr>
              <w:t xml:space="preserve">▿</w:t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Complete subroutine </w:t>
            </w:r>
            <w:r w:rsidDel="00000000" w:rsidR="00000000" w:rsidRPr="00000000">
              <w:rPr>
                <w:b w:val="1"/>
                <w:rtl w:val="0"/>
              </w:rPr>
              <w:t xml:space="preserve">q3</w:t>
            </w:r>
            <w:r w:rsidDel="00000000" w:rsidR="00000000" w:rsidRPr="00000000">
              <w:rPr>
                <w:rtl w:val="0"/>
              </w:rPr>
              <w:t xml:space="preserve">. The following question has already been added for you: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Paris stands on which river?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The answer is: Seine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Give the same feedback as subroutines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q1 </w:t>
            </w:r>
            <w:r w:rsidDel="00000000" w:rsidR="00000000" w:rsidRPr="00000000">
              <w:rPr>
                <w:highlight w:val="white"/>
                <w:rtl w:val="0"/>
              </w:rPr>
              <w:t xml:space="preserve">and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q2.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Complete subroutine </w:t>
            </w:r>
            <w:r w:rsidDel="00000000" w:rsidR="00000000" w:rsidRPr="00000000">
              <w:rPr>
                <w:b w:val="1"/>
                <w:rtl w:val="0"/>
              </w:rPr>
              <w:t xml:space="preserve">q4</w:t>
            </w:r>
            <w:r w:rsidDel="00000000" w:rsidR="00000000" w:rsidRPr="00000000">
              <w:rPr>
                <w:rtl w:val="0"/>
              </w:rPr>
              <w:t xml:space="preserve">. The following questions has already been added for you: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What does the U stand for in USA?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Answer: United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What does the S stand for in USA?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Answer: States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 this subroutine, both questions must be answered correctly for them to get the “Correct” feedback. If they only get one correct or neither, then they should get “Wrong” as feedback.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Add a new question after the </w:t>
            </w:r>
            <w:r w:rsidDel="00000000" w:rsidR="00000000" w:rsidRPr="00000000">
              <w:rPr>
                <w:b w:val="1"/>
                <w:rtl w:val="0"/>
              </w:rPr>
              <w:t xml:space="preserve">Green flag</w:t>
            </w:r>
            <w:r w:rsidDel="00000000" w:rsidR="00000000" w:rsidRPr="00000000">
              <w:rPr>
                <w:rtl w:val="0"/>
              </w:rPr>
              <w:t xml:space="preserve"> has been clicked that asks the user what year group they are in. 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If the user enters a number lower than seven, then they should be asked questions 1 and 2, otherwise they should be asked questions 3 and 4.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Hint: Use the year-group variable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Style w:val="Heading1"/>
        <w:rPr/>
      </w:pPr>
      <w:bookmarkStart w:colFirst="0" w:colLast="0" w:name="_6v1qz4j8akm4" w:id="2"/>
      <w:bookmarkEnd w:id="2"/>
      <w:r w:rsidDel="00000000" w:rsidR="00000000" w:rsidRPr="00000000">
        <w:rPr>
          <w:rtl w:val="0"/>
        </w:rPr>
        <w:t xml:space="preserve">Explorer tasks</w:t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5"/>
        <w:gridCol w:w="5325"/>
        <w:tblGridChange w:id="0">
          <w:tblGrid>
            <w:gridCol w:w="3675"/>
            <w:gridCol w:w="532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Task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Screenshot of your code </w:t>
            </w:r>
            <w:r w:rsidDel="00000000" w:rsidR="00000000" w:rsidRPr="00000000">
              <w:rPr>
                <w:highlight w:val="white"/>
                <w:rtl w:val="0"/>
              </w:rPr>
              <w:t xml:space="preserve">▿</w:t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Use the ‘score’ variable to add one to the score each time the use gets a question correct.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When the game starts, the score should be set to 0.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Add a question to subroutine </w:t>
            </w:r>
            <w:r w:rsidDel="00000000" w:rsidR="00000000" w:rsidRPr="00000000">
              <w:rPr>
                <w:b w:val="1"/>
                <w:rtl w:val="0"/>
              </w:rPr>
              <w:t xml:space="preserve">q5.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 question should be: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What is the population of Iceland to the nearest 100,000? 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Accept any answer between 300,000 and 400,000.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Resources are updated regularly — the latest version is available at: 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ncce.io/tcc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 This resource is licensed under the Open Government Licence, version 3. For more information on this licence, see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 ncce.io/ogl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pgSz w:h="16838" w:w="11906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  <w:font w:name="Roboto Mon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Handlee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08/03/2021</w:t>
    </w:r>
  </w:p>
  <w:p w:rsidR="00000000" w:rsidDel="00000000" w:rsidP="00000000" w:rsidRDefault="00000000" w:rsidRPr="00000000" w14:paraId="00000049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spacing w:line="276" w:lineRule="auto"/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08/03/2021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3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9">
          <w:pPr>
            <w:ind w:right="-234.09448818897602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7 – Programming essentials in Scratch: part I</w:t>
          </w:r>
        </w:p>
        <w:p w:rsidR="00000000" w:rsidDel="00000000" w:rsidP="00000000" w:rsidRDefault="00000000" w:rsidRPr="00000000" w14:paraId="0000003A">
          <w:pPr>
            <w:ind w:right="-234.09448818897602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4 – Operators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B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3C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ind w:left="7920" w:right="-234" w:firstLine="0"/>
      <w:jc w:val="right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Quicksand" w:cs="Quicksand" w:eastAsia="Quicksand" w:hAnsi="Quicksan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4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2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7 – Programming essentials in Scratch: part 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4 – Operators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336550</wp:posOffset>
                </wp:positionV>
                <wp:extent cx="1717040" cy="76200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4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45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Quicksand" w:cs="Quicksand" w:eastAsia="Quicksand" w:hAnsi="Quicksand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</w:pPr>
    <w:rPr>
      <w:b w:val="1"/>
      <w:color w:val="5b5ba5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ncce.io/bigquiz" TargetMode="External"/><Relationship Id="rId7" Type="http://schemas.openxmlformats.org/officeDocument/2006/relationships/hyperlink" Target="http://ncce.io/tcc" TargetMode="External"/><Relationship Id="rId8" Type="http://schemas.openxmlformats.org/officeDocument/2006/relationships/hyperlink" Target="http://ncce.io/og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RobotoMono-regular.ttf"/><Relationship Id="rId4" Type="http://schemas.openxmlformats.org/officeDocument/2006/relationships/font" Target="fonts/RobotoMono-bold.ttf"/><Relationship Id="rId5" Type="http://schemas.openxmlformats.org/officeDocument/2006/relationships/font" Target="fonts/RobotoMono-italic.ttf"/><Relationship Id="rId6" Type="http://schemas.openxmlformats.org/officeDocument/2006/relationships/font" Target="fonts/RobotoMono-boldItalic.ttf"/><Relationship Id="rId7" Type="http://schemas.openxmlformats.org/officeDocument/2006/relationships/font" Target="fonts/Handlee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