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Debugging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The program below asks the user which </w:t>
      </w:r>
      <w:r w:rsidDel="00000000" w:rsidR="00000000" w:rsidRPr="00000000">
        <w:rPr>
          <w:rtl w:val="0"/>
        </w:rPr>
        <w:t xml:space="preserve">times</w:t>
      </w:r>
      <w:r w:rsidDel="00000000" w:rsidR="00000000" w:rsidRPr="00000000">
        <w:rPr>
          <w:rtl w:val="0"/>
        </w:rPr>
        <w:t xml:space="preserve"> table they would like to know. The Scratch cat program should then say the times table for them. Unfortunately, this program doesn’t output the correct data.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Run the program for yourself.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The program can be found here: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times table program</w:t>
        </w:r>
      </w:hyperlink>
      <w:r w:rsidDel="00000000" w:rsidR="00000000" w:rsidRPr="00000000">
        <w:rPr>
          <w:rtl w:val="0"/>
        </w:rPr>
        <w:t xml:space="preserve"> (ncce.io/TimesTableDebugging)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3471863" cy="2848921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36481" l="0" r="305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1863" cy="2848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Describe what happens when you run the program.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3"/>
        <w:spacing w:line="276" w:lineRule="auto"/>
        <w:rPr/>
      </w:pPr>
      <w:bookmarkStart w:colFirst="0" w:colLast="0" w:name="_y1gkfjfdcpl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One technique you can use to help you debug code is to add lines of code that show the variables that may play a part in the bug.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Add two lines of code that ‘say’ the value of your variables each time the program iterates. It should now look like the following: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3107337" cy="323373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35798" l="0" r="305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7337" cy="3233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For this exercise, assume that when asked ‘What times table would you like?’ a number ‘2’ was entered. Note the values of the two variables and the final output just for the first four iterations.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2625"/>
        <w:gridCol w:w="2580"/>
        <w:gridCol w:w="2415"/>
        <w:tblGridChange w:id="0">
          <w:tblGrid>
            <w:gridCol w:w="1410"/>
            <w:gridCol w:w="2625"/>
            <w:gridCol w:w="2580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Value of: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652463" cy="34176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62393" l="0" r="3170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3417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Value of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808925" cy="357188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61538" l="0" r="3234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25" cy="357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Output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1493308" cy="395288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55000" l="0" r="3061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308" cy="3952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code here to test out the theory.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What did you discover was the bug/error with the program?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Can you recommend a way of fixing this bug?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3"/>
        <w:spacing w:line="276" w:lineRule="auto"/>
        <w:rPr/>
      </w:pPr>
      <w:bookmarkStart w:colFirst="0" w:colLast="0" w:name="_70oggfvbntz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spacing w:line="276" w:lineRule="auto"/>
        <w:rPr/>
      </w:pPr>
      <w:bookmarkStart w:colFirst="0" w:colLast="0" w:name="_3adzw2r8fsvu" w:id="3"/>
      <w:bookmarkEnd w:id="3"/>
      <w:r w:rsidDel="00000000" w:rsidR="00000000" w:rsidRPr="00000000">
        <w:rPr>
          <w:rtl w:val="0"/>
        </w:rPr>
        <w:t xml:space="preserve">Explorer tasks</w:t>
      </w:r>
    </w:p>
    <w:p w:rsidR="00000000" w:rsidDel="00000000" w:rsidP="00000000" w:rsidRDefault="00000000" w:rsidRPr="00000000" w14:paraId="0000005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Remove the two print lines from the code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Fix the bug so that you have a working program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5F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61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Handlee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  <w:p w:rsidR="00000000" w:rsidDel="00000000" w:rsidP="00000000" w:rsidRDefault="00000000" w:rsidRPr="00000000" w14:paraId="00000073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4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3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64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5 – Count-controlled iteration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5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66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5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C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5 – Count-controlled iteration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hyperlink" Target="http://ncce.io/ogl" TargetMode="External"/><Relationship Id="rId12" Type="http://schemas.openxmlformats.org/officeDocument/2006/relationships/hyperlink" Target="http://ncce.io/tc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ncce.io/TimesTableDebugging" TargetMode="External"/><Relationship Id="rId18" Type="http://schemas.openxmlformats.org/officeDocument/2006/relationships/footer" Target="footer2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Handlee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