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C6" w:rsidRDefault="007C53C6" w:rsidP="007C53C6">
      <w:pPr>
        <w:pStyle w:val="Ahead"/>
      </w:pPr>
      <w:bookmarkStart w:id="0" w:name="_Toc1737160"/>
      <w:r>
        <w:t>Summary sheet: Writing formulae</w:t>
      </w:r>
      <w:bookmarkEnd w:id="0"/>
    </w:p>
    <w:p w:rsidR="007C53C6" w:rsidRPr="00D94449" w:rsidRDefault="007C53C6" w:rsidP="007C53C6">
      <w:pPr>
        <w:pStyle w:val="Bhead"/>
      </w:pPr>
      <w:r w:rsidRPr="00D94449">
        <w:t>Writing formulae</w:t>
      </w:r>
    </w:p>
    <w:p w:rsidR="007C53C6" w:rsidRPr="00D94449" w:rsidRDefault="007C53C6" w:rsidP="007C53C6">
      <w:pPr>
        <w:pStyle w:val="text"/>
      </w:pPr>
      <w:r w:rsidRPr="00D94449">
        <w:t>Compounds should have no overall charges, so the positive and negative charges should cancel each other out.</w:t>
      </w:r>
    </w:p>
    <w:p w:rsidR="007C53C6" w:rsidRDefault="007C53C6" w:rsidP="007C53C6">
      <w:pPr>
        <w:pStyle w:val="text"/>
      </w:pPr>
      <w:r w:rsidRPr="00D94449">
        <w:t>Apart from working out the charges o</w:t>
      </w:r>
      <w:r>
        <w:t>n</w:t>
      </w:r>
      <w:r w:rsidRPr="00D94449">
        <w:t xml:space="preserve"> ions made up of one element, you need to know the following </w:t>
      </w:r>
      <w:r>
        <w:t>compound ions and their charges.</w:t>
      </w:r>
      <w:r>
        <w:br/>
      </w:r>
    </w:p>
    <w:tbl>
      <w:tblPr>
        <w:tblW w:w="0" w:type="auto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ook w:val="01E0" w:firstRow="1" w:lastRow="1" w:firstColumn="1" w:lastColumn="1" w:noHBand="0" w:noVBand="0"/>
      </w:tblPr>
      <w:tblGrid>
        <w:gridCol w:w="3000"/>
        <w:gridCol w:w="2972"/>
        <w:gridCol w:w="2936"/>
      </w:tblGrid>
      <w:tr w:rsidR="007C53C6" w:rsidRPr="00D94449" w:rsidTr="00D05FE3">
        <w:trPr>
          <w:trHeight w:val="270"/>
        </w:trPr>
        <w:tc>
          <w:tcPr>
            <w:tcW w:w="3560" w:type="dxa"/>
            <w:shd w:val="clear" w:color="auto" w:fill="EDE9F3"/>
          </w:tcPr>
          <w:p w:rsidR="007C53C6" w:rsidRPr="00D94449" w:rsidRDefault="007C53C6" w:rsidP="00D05FE3">
            <w:pPr>
              <w:pStyle w:val="Tablehead"/>
            </w:pPr>
            <w:r w:rsidRPr="00D94449">
              <w:t>Name</w:t>
            </w:r>
          </w:p>
        </w:tc>
        <w:tc>
          <w:tcPr>
            <w:tcW w:w="3561" w:type="dxa"/>
            <w:shd w:val="clear" w:color="auto" w:fill="EDE9F3"/>
          </w:tcPr>
          <w:p w:rsidR="007C53C6" w:rsidRPr="00D94449" w:rsidRDefault="007C53C6" w:rsidP="00D05FE3">
            <w:pPr>
              <w:pStyle w:val="Tablehead"/>
            </w:pPr>
            <w:r w:rsidRPr="00D94449">
              <w:t>Formula</w:t>
            </w:r>
          </w:p>
        </w:tc>
        <w:tc>
          <w:tcPr>
            <w:tcW w:w="3561" w:type="dxa"/>
            <w:shd w:val="clear" w:color="auto" w:fill="EDE9F3"/>
          </w:tcPr>
          <w:p w:rsidR="007C53C6" w:rsidRPr="00D94449" w:rsidRDefault="007C53C6" w:rsidP="00D05FE3">
            <w:pPr>
              <w:pStyle w:val="Tablehead"/>
            </w:pPr>
            <w:r w:rsidRPr="00D94449">
              <w:t>Charge</w:t>
            </w:r>
          </w:p>
        </w:tc>
      </w:tr>
      <w:tr w:rsidR="007C53C6" w:rsidRPr="00D94449" w:rsidTr="00D05FE3">
        <w:tc>
          <w:tcPr>
            <w:tcW w:w="3560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t>h</w:t>
            </w:r>
            <w:r w:rsidRPr="00D94449">
              <w:t>ydroxide</w:t>
            </w:r>
          </w:p>
        </w:tc>
        <w:tc>
          <w:tcPr>
            <w:tcW w:w="3561" w:type="dxa"/>
            <w:shd w:val="clear" w:color="auto" w:fill="auto"/>
          </w:tcPr>
          <w:p w:rsidR="007C53C6" w:rsidRPr="00ED6F3F" w:rsidRDefault="007C53C6" w:rsidP="00D05FE3">
            <w:pPr>
              <w:pStyle w:val="Tabletext"/>
              <w:rPr>
                <w:vertAlign w:val="superscript"/>
              </w:rPr>
            </w:pPr>
            <w:r w:rsidRPr="00D94449">
              <w:t>OH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rPr>
                <w:rFonts w:eastAsia="MS Mincho"/>
                <w:lang w:eastAsia="en-GB"/>
              </w:rPr>
              <w:t>1–</w:t>
            </w:r>
          </w:p>
        </w:tc>
      </w:tr>
      <w:tr w:rsidR="007C53C6" w:rsidRPr="00D94449" w:rsidTr="00D05FE3">
        <w:tc>
          <w:tcPr>
            <w:tcW w:w="3560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t>n</w:t>
            </w:r>
            <w:r w:rsidRPr="00D94449">
              <w:t>itrate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NO</w:t>
            </w:r>
            <w:r w:rsidRPr="00ED6F3F">
              <w:rPr>
                <w:vertAlign w:val="subscript"/>
              </w:rPr>
              <w:t>3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rPr>
                <w:rFonts w:eastAsia="MS Mincho"/>
                <w:lang w:eastAsia="en-GB"/>
              </w:rPr>
              <w:t>1–</w:t>
            </w:r>
          </w:p>
        </w:tc>
      </w:tr>
      <w:tr w:rsidR="007C53C6" w:rsidRPr="00D94449" w:rsidTr="00D05FE3">
        <w:tc>
          <w:tcPr>
            <w:tcW w:w="3560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proofErr w:type="spellStart"/>
            <w:r>
              <w:t>sulf</w:t>
            </w:r>
            <w:r w:rsidRPr="00D94449">
              <w:t>ate</w:t>
            </w:r>
            <w:proofErr w:type="spellEnd"/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SO</w:t>
            </w:r>
            <w:r w:rsidRPr="00ED6F3F">
              <w:rPr>
                <w:vertAlign w:val="subscript"/>
              </w:rPr>
              <w:t>4</w:t>
            </w:r>
            <w:r w:rsidRPr="00ED6F3F">
              <w:rPr>
                <w:vertAlign w:val="superscript"/>
              </w:rPr>
              <w:t>2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rPr>
                <w:rFonts w:eastAsia="MS Mincho"/>
                <w:lang w:eastAsia="en-GB"/>
              </w:rPr>
              <w:t>2–</w:t>
            </w:r>
          </w:p>
        </w:tc>
      </w:tr>
      <w:tr w:rsidR="007C53C6" w:rsidRPr="00D94449" w:rsidTr="00D05FE3">
        <w:tc>
          <w:tcPr>
            <w:tcW w:w="3560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carbonate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CO</w:t>
            </w:r>
            <w:r w:rsidRPr="00ED6F3F">
              <w:rPr>
                <w:vertAlign w:val="subscript"/>
              </w:rPr>
              <w:t>3</w:t>
            </w:r>
            <w:r w:rsidRPr="00ED6F3F">
              <w:rPr>
                <w:vertAlign w:val="superscript"/>
              </w:rPr>
              <w:t>2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rPr>
                <w:rFonts w:eastAsia="MS Mincho"/>
                <w:lang w:eastAsia="en-GB"/>
              </w:rPr>
              <w:t>2–</w:t>
            </w:r>
          </w:p>
        </w:tc>
      </w:tr>
      <w:tr w:rsidR="007C53C6" w:rsidRPr="00D94449" w:rsidTr="00D05FE3">
        <w:trPr>
          <w:trHeight w:val="334"/>
        </w:trPr>
        <w:tc>
          <w:tcPr>
            <w:tcW w:w="3560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ammonium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NH</w:t>
            </w:r>
            <w:r w:rsidRPr="00ED6F3F">
              <w:rPr>
                <w:vertAlign w:val="subscript"/>
              </w:rPr>
              <w:t>4</w:t>
            </w:r>
            <w:r w:rsidRPr="00ED6F3F">
              <w:rPr>
                <w:vertAlign w:val="superscript"/>
              </w:rPr>
              <w:t>+</w:t>
            </w:r>
          </w:p>
        </w:tc>
        <w:tc>
          <w:tcPr>
            <w:tcW w:w="3561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1</w:t>
            </w:r>
            <w:r>
              <w:t>+</w:t>
            </w:r>
          </w:p>
        </w:tc>
      </w:tr>
    </w:tbl>
    <w:p w:rsidR="007C53C6" w:rsidRDefault="007C53C6" w:rsidP="007C53C6">
      <w:pPr>
        <w:pStyle w:val="text"/>
      </w:pPr>
    </w:p>
    <w:p w:rsidR="007C53C6" w:rsidRDefault="007C53C6" w:rsidP="007C53C6">
      <w:pPr>
        <w:pStyle w:val="text"/>
      </w:pPr>
      <w:r>
        <w:t>Follow these steps.</w:t>
      </w:r>
    </w:p>
    <w:p w:rsidR="007C53C6" w:rsidRPr="00D94449" w:rsidRDefault="007C53C6" w:rsidP="007C53C6">
      <w:pPr>
        <w:pStyle w:val="text"/>
      </w:pPr>
    </w:p>
    <w:tbl>
      <w:tblPr>
        <w:tblW w:w="0" w:type="auto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ook w:val="01E0" w:firstRow="1" w:lastRow="1" w:firstColumn="1" w:lastColumn="1" w:noHBand="0" w:noVBand="0"/>
      </w:tblPr>
      <w:tblGrid>
        <w:gridCol w:w="4727"/>
        <w:gridCol w:w="2297"/>
        <w:gridCol w:w="1884"/>
      </w:tblGrid>
      <w:tr w:rsidR="007C53C6" w:rsidRPr="00D94449" w:rsidTr="00D05FE3">
        <w:trPr>
          <w:trHeight w:val="434"/>
        </w:trPr>
        <w:tc>
          <w:tcPr>
            <w:tcW w:w="5778" w:type="dxa"/>
            <w:shd w:val="clear" w:color="auto" w:fill="EDE9F3"/>
          </w:tcPr>
          <w:p w:rsidR="007C53C6" w:rsidRPr="00D94449" w:rsidRDefault="007C53C6" w:rsidP="00D05FE3">
            <w:pPr>
              <w:pStyle w:val="Tablesub-head"/>
            </w:pPr>
            <w:r w:rsidRPr="00D94449">
              <w:t>Write the name of the compound</w:t>
            </w:r>
          </w:p>
        </w:tc>
        <w:tc>
          <w:tcPr>
            <w:tcW w:w="2552" w:type="dxa"/>
            <w:shd w:val="clear" w:color="auto" w:fill="EDE9F3"/>
          </w:tcPr>
          <w:p w:rsidR="007C53C6" w:rsidRPr="00D94449" w:rsidRDefault="007C53C6" w:rsidP="00D05FE3">
            <w:pPr>
              <w:pStyle w:val="Tablesub-head"/>
            </w:pPr>
            <w:r w:rsidRPr="00D94449">
              <w:t>Magnesium bromide</w:t>
            </w:r>
          </w:p>
        </w:tc>
        <w:tc>
          <w:tcPr>
            <w:tcW w:w="2125" w:type="dxa"/>
            <w:shd w:val="clear" w:color="auto" w:fill="EDE9F3"/>
          </w:tcPr>
          <w:p w:rsidR="007C53C6" w:rsidRPr="00D94449" w:rsidRDefault="007C53C6" w:rsidP="00D05FE3">
            <w:pPr>
              <w:pStyle w:val="Tablesub-head"/>
            </w:pPr>
            <w:r w:rsidRPr="00D94449">
              <w:t xml:space="preserve">Sodium </w:t>
            </w:r>
            <w:proofErr w:type="spellStart"/>
            <w:r>
              <w:t>sulf</w:t>
            </w:r>
            <w:r w:rsidRPr="00D94449">
              <w:t>ate</w:t>
            </w:r>
            <w:proofErr w:type="spellEnd"/>
          </w:p>
        </w:tc>
      </w:tr>
      <w:tr w:rsidR="007C53C6" w:rsidRPr="00D94449" w:rsidTr="00D05FE3">
        <w:tc>
          <w:tcPr>
            <w:tcW w:w="5778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Work out the charge of your positive ion = group n</w:t>
            </w:r>
            <w:r>
              <w:t>umber,</w:t>
            </w:r>
            <w:r w:rsidRPr="00D94449">
              <w:t xml:space="preserve"> or </w:t>
            </w:r>
            <w:r>
              <w:t>1+</w:t>
            </w:r>
            <w:r w:rsidRPr="00D94449">
              <w:t xml:space="preserve"> </w:t>
            </w:r>
            <w:r>
              <w:t xml:space="preserve">for </w:t>
            </w:r>
            <w:r w:rsidRPr="00D94449">
              <w:t>ammonium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Mg</w:t>
            </w:r>
            <w:r w:rsidRPr="00ED6F3F">
              <w:rPr>
                <w:vertAlign w:val="superscript"/>
              </w:rPr>
              <w:t>2+</w:t>
            </w:r>
          </w:p>
        </w:tc>
        <w:tc>
          <w:tcPr>
            <w:tcW w:w="2125" w:type="dxa"/>
            <w:shd w:val="clear" w:color="auto" w:fill="auto"/>
          </w:tcPr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Na</w:t>
            </w:r>
            <w:r w:rsidRPr="00ED6F3F">
              <w:rPr>
                <w:vertAlign w:val="superscript"/>
              </w:rPr>
              <w:t>+</w:t>
            </w:r>
          </w:p>
        </w:tc>
      </w:tr>
      <w:tr w:rsidR="007C53C6" w:rsidRPr="00D94449" w:rsidTr="00D05FE3">
        <w:trPr>
          <w:trHeight w:val="971"/>
        </w:trPr>
        <w:tc>
          <w:tcPr>
            <w:tcW w:w="5778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Work out the charge of your negative ion = gr</w:t>
            </w:r>
            <w:r>
              <w:t>ou</w:t>
            </w:r>
            <w:r w:rsidRPr="00D94449">
              <w:t>p n</w:t>
            </w:r>
            <w:r>
              <w:t>umber</w:t>
            </w:r>
            <w:r w:rsidRPr="00D94449">
              <w:t xml:space="preserve"> </w:t>
            </w:r>
            <w:r>
              <w:rPr>
                <w:rFonts w:eastAsia="MS Mincho"/>
                <w:lang w:eastAsia="en-GB"/>
              </w:rPr>
              <w:t>–</w:t>
            </w:r>
            <w:r w:rsidRPr="00D94449">
              <w:t xml:space="preserve"> 8 </w:t>
            </w:r>
            <w:r w:rsidRPr="009A2861">
              <w:rPr>
                <w:i/>
              </w:rPr>
              <w:t>or</w:t>
            </w:r>
            <w:r w:rsidRPr="00D94449">
              <w:t xml:space="preserve"> known charge </w:t>
            </w:r>
            <w:r>
              <w:t xml:space="preserve">for </w:t>
            </w:r>
            <w:r w:rsidRPr="00D94449">
              <w:t>a compound ion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Br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</w:tc>
        <w:tc>
          <w:tcPr>
            <w:tcW w:w="2125" w:type="dxa"/>
            <w:shd w:val="clear" w:color="auto" w:fill="auto"/>
          </w:tcPr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SO</w:t>
            </w:r>
            <w:r w:rsidRPr="00ED6F3F">
              <w:rPr>
                <w:vertAlign w:val="subscript"/>
              </w:rPr>
              <w:t>4</w:t>
            </w:r>
            <w:r w:rsidRPr="00ED6F3F">
              <w:rPr>
                <w:vertAlign w:val="superscript"/>
              </w:rPr>
              <w:t>2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</w:tc>
      </w:tr>
      <w:tr w:rsidR="007C53C6" w:rsidRPr="00D94449" w:rsidTr="00D05FE3">
        <w:trPr>
          <w:trHeight w:val="907"/>
        </w:trPr>
        <w:tc>
          <w:tcPr>
            <w:tcW w:w="5778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>
              <w:t>Rewrite the symbols;</w:t>
            </w:r>
            <w:r w:rsidRPr="00D94449">
              <w:t xml:space="preserve"> put a bracket around any compound ion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7C53C6" w:rsidRPr="00714871" w:rsidRDefault="007C53C6" w:rsidP="00D05FE3">
            <w:pPr>
              <w:pStyle w:val="Tabletext"/>
              <w:jc w:val="center"/>
            </w:pPr>
            <w:r>
              <w:t>Mg</w:t>
            </w:r>
            <w:r w:rsidRPr="00ED6F3F">
              <w:rPr>
                <w:vertAlign w:val="superscript"/>
              </w:rPr>
              <w:t>2+</w:t>
            </w:r>
            <w:r w:rsidRPr="00714871">
              <w:t xml:space="preserve">    </w:t>
            </w:r>
            <w:r w:rsidRPr="00D94449">
              <w:t>Br</w:t>
            </w:r>
            <w:r w:rsidRPr="00714871">
              <w:rPr>
                <w:rFonts w:eastAsia="MS Mincho"/>
                <w:vertAlign w:val="superscript"/>
                <w:lang w:eastAsia="en-GB"/>
              </w:rPr>
              <w:t>–</w:t>
            </w:r>
          </w:p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Mg  Br</w:t>
            </w:r>
          </w:p>
        </w:tc>
        <w:tc>
          <w:tcPr>
            <w:tcW w:w="2125" w:type="dxa"/>
            <w:shd w:val="clear" w:color="auto" w:fill="auto"/>
          </w:tcPr>
          <w:p w:rsidR="007C53C6" w:rsidRPr="00ED6F3F" w:rsidRDefault="007C53C6" w:rsidP="00D05FE3">
            <w:pPr>
              <w:pStyle w:val="Tabletext"/>
              <w:jc w:val="center"/>
              <w:rPr>
                <w:vertAlign w:val="superscript"/>
              </w:rPr>
            </w:pPr>
            <w:r w:rsidRPr="00D94449">
              <w:t>Na</w:t>
            </w:r>
            <w:r w:rsidRPr="00ED6F3F">
              <w:rPr>
                <w:vertAlign w:val="superscript"/>
              </w:rPr>
              <w:t>+</w:t>
            </w:r>
            <w:r w:rsidRPr="00AA1087">
              <w:t xml:space="preserve">    </w:t>
            </w:r>
            <w:r w:rsidRPr="00D94449">
              <w:t>SO</w:t>
            </w:r>
            <w:r w:rsidRPr="00ED6F3F">
              <w:rPr>
                <w:vertAlign w:val="subscript"/>
              </w:rPr>
              <w:t>4</w:t>
            </w:r>
            <w:r w:rsidRPr="00ED6F3F">
              <w:rPr>
                <w:vertAlign w:val="superscript"/>
              </w:rPr>
              <w:t>2</w:t>
            </w:r>
            <w:r w:rsidRPr="00630268">
              <w:rPr>
                <w:rFonts w:eastAsia="MS Mincho"/>
                <w:vertAlign w:val="superscript"/>
                <w:lang w:eastAsia="en-GB"/>
              </w:rPr>
              <w:t>–</w:t>
            </w:r>
          </w:p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Na  (SO</w:t>
            </w:r>
            <w:r w:rsidRPr="00ED6F3F">
              <w:rPr>
                <w:vertAlign w:val="subscript"/>
              </w:rPr>
              <w:t>4</w:t>
            </w:r>
            <w:r w:rsidRPr="00D94449">
              <w:t>)</w:t>
            </w:r>
          </w:p>
        </w:tc>
      </w:tr>
      <w:tr w:rsidR="007C53C6" w:rsidRPr="00D94449" w:rsidTr="00D05FE3">
        <w:tc>
          <w:tcPr>
            <w:tcW w:w="5778" w:type="dxa"/>
            <w:shd w:val="clear" w:color="auto" w:fill="auto"/>
          </w:tcPr>
          <w:p w:rsidR="007C53C6" w:rsidRPr="00D94449" w:rsidRDefault="007C53C6" w:rsidP="00D05FE3">
            <w:pPr>
              <w:pStyle w:val="Tabletext"/>
            </w:pPr>
            <w:r w:rsidRPr="00D94449">
              <w:t>Swap the numbers of the charges and drop them to the opposite ion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MgBr</w:t>
            </w:r>
            <w:r w:rsidRPr="00ED6F3F">
              <w:rPr>
                <w:vertAlign w:val="subscript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7C53C6" w:rsidRPr="00D94449" w:rsidRDefault="007C53C6" w:rsidP="00D05FE3">
            <w:pPr>
              <w:pStyle w:val="Tabletext"/>
              <w:jc w:val="center"/>
            </w:pPr>
            <w:r w:rsidRPr="00D94449">
              <w:t>Na</w:t>
            </w:r>
            <w:r w:rsidRPr="00ED6F3F">
              <w:rPr>
                <w:vertAlign w:val="subscript"/>
              </w:rPr>
              <w:t>2</w:t>
            </w:r>
            <w:r w:rsidRPr="00D94449">
              <w:t>(SO</w:t>
            </w:r>
            <w:r w:rsidRPr="00ED6F3F">
              <w:rPr>
                <w:vertAlign w:val="subscript"/>
              </w:rPr>
              <w:t>4</w:t>
            </w:r>
            <w:r w:rsidRPr="00D94449">
              <w:t>)</w:t>
            </w:r>
          </w:p>
        </w:tc>
      </w:tr>
    </w:tbl>
    <w:p w:rsidR="007C53C6" w:rsidRPr="00750928" w:rsidRDefault="007C53C6" w:rsidP="007C53C6">
      <w:pPr>
        <w:pStyle w:val="Bhead"/>
      </w:pPr>
      <w:r w:rsidRPr="00750928">
        <w:t xml:space="preserve">Writing </w:t>
      </w:r>
      <w:r>
        <w:t>i</w:t>
      </w:r>
      <w:r w:rsidRPr="00750928">
        <w:t xml:space="preserve">onic </w:t>
      </w:r>
      <w:r>
        <w:t>e</w:t>
      </w:r>
      <w:r w:rsidRPr="00750928">
        <w:t>quations</w:t>
      </w:r>
    </w:p>
    <w:p w:rsidR="007C53C6" w:rsidRPr="00750928" w:rsidRDefault="007C53C6" w:rsidP="007C53C6">
      <w:pPr>
        <w:pStyle w:val="textbullets"/>
      </w:pPr>
      <w:r w:rsidRPr="00750928">
        <w:t>Make sure all state symbols are included.</w:t>
      </w:r>
    </w:p>
    <w:p w:rsidR="007C53C6" w:rsidRDefault="007C53C6" w:rsidP="007C53C6">
      <w:pPr>
        <w:pStyle w:val="textbullets"/>
      </w:pPr>
      <w:r w:rsidRPr="00750928">
        <w:t>Identify the species that are aqueous</w:t>
      </w:r>
      <w:r>
        <w:t>, using the rules of solubility.</w:t>
      </w:r>
    </w:p>
    <w:p w:rsidR="007C53C6" w:rsidRPr="00714871" w:rsidRDefault="007C53C6" w:rsidP="007C53C6">
      <w:pPr>
        <w:pStyle w:val="Numberedlist"/>
        <w:numPr>
          <w:ilvl w:val="0"/>
          <w:numId w:val="3"/>
        </w:numPr>
        <w:ind w:left="397" w:firstLine="68"/>
      </w:pPr>
      <w:r w:rsidRPr="00714871">
        <w:t xml:space="preserve">Look at the cation – is it </w:t>
      </w:r>
      <w:r w:rsidRPr="00B514E4">
        <w:t xml:space="preserve">Group </w:t>
      </w:r>
      <w:r w:rsidRPr="00714871">
        <w:t xml:space="preserve">1 or ammonium? If so </w:t>
      </w:r>
      <w:r>
        <w:rPr>
          <w:rFonts w:ascii="Arial" w:hAnsi="Arial" w:cs="Arial"/>
        </w:rPr>
        <w:t>→</w:t>
      </w:r>
      <w:r w:rsidRPr="00714871">
        <w:t xml:space="preserve"> soluble</w:t>
      </w:r>
      <w:r>
        <w:t>.</w:t>
      </w:r>
    </w:p>
    <w:p w:rsidR="007C53C6" w:rsidRPr="00714871" w:rsidRDefault="007C53C6" w:rsidP="007C53C6">
      <w:pPr>
        <w:pStyle w:val="Numberedlist"/>
        <w:ind w:firstLine="68"/>
      </w:pPr>
      <w:r w:rsidRPr="00714871">
        <w:t xml:space="preserve">Look at the anion – is it a nitrate? If so </w:t>
      </w:r>
      <w:proofErr w:type="gramStart"/>
      <w:r>
        <w:rPr>
          <w:rFonts w:ascii="Arial" w:hAnsi="Arial" w:cs="Arial"/>
        </w:rPr>
        <w:t>→</w:t>
      </w:r>
      <w:r w:rsidRPr="00714871">
        <w:t xml:space="preserve">  soluble</w:t>
      </w:r>
      <w:proofErr w:type="gramEnd"/>
      <w:r>
        <w:t>.</w:t>
      </w:r>
    </w:p>
    <w:p w:rsidR="007C53C6" w:rsidRDefault="007C53C6" w:rsidP="007C53C6">
      <w:pPr>
        <w:pStyle w:val="textbullets"/>
      </w:pPr>
      <w:r w:rsidRPr="00750928">
        <w:t>Proceed onl</w:t>
      </w:r>
      <w:r>
        <w:t>y if you have ruled out 1 and 2.</w:t>
      </w:r>
    </w:p>
    <w:p w:rsidR="007C53C6" w:rsidRPr="00714871" w:rsidRDefault="007C53C6" w:rsidP="007C53C6">
      <w:pPr>
        <w:pStyle w:val="Numberedlist"/>
        <w:numPr>
          <w:ilvl w:val="0"/>
          <w:numId w:val="4"/>
        </w:numPr>
        <w:ind w:left="397" w:firstLine="68"/>
      </w:pPr>
      <w:r w:rsidRPr="00714871">
        <w:t>Is the anion a halide (chloride, bromide or iodide)?</w:t>
      </w:r>
    </w:p>
    <w:p w:rsidR="007C53C6" w:rsidRPr="00714871" w:rsidRDefault="007C53C6" w:rsidP="007C53C6">
      <w:pPr>
        <w:pStyle w:val="Numberedlist"/>
        <w:ind w:firstLine="66"/>
      </w:pPr>
      <w:r>
        <w:t xml:space="preserve">If so, </w:t>
      </w:r>
      <w:r w:rsidRPr="00B514E4">
        <w:t xml:space="preserve">look </w:t>
      </w:r>
      <w:r w:rsidRPr="00714871">
        <w:t xml:space="preserve">at the metal – lead </w:t>
      </w:r>
      <w:r>
        <w:t xml:space="preserve">or </w:t>
      </w:r>
      <w:r w:rsidRPr="00714871">
        <w:t xml:space="preserve">silver? </w:t>
      </w:r>
      <w:r>
        <w:t xml:space="preserve">If so </w:t>
      </w:r>
      <w:proofErr w:type="gramStart"/>
      <w:r>
        <w:rPr>
          <w:rFonts w:ascii="Arial" w:hAnsi="Arial" w:cs="Arial"/>
        </w:rPr>
        <w:t>→</w:t>
      </w:r>
      <w:r w:rsidRPr="00714871">
        <w:t xml:space="preserve">  insoluble</w:t>
      </w:r>
      <w:proofErr w:type="gramEnd"/>
      <w:r>
        <w:t>.</w:t>
      </w:r>
    </w:p>
    <w:p w:rsidR="007C53C6" w:rsidRPr="00714871" w:rsidRDefault="007C53C6" w:rsidP="007C53C6">
      <w:pPr>
        <w:pStyle w:val="Numberedlist"/>
        <w:ind w:firstLine="68"/>
      </w:pPr>
      <w:r w:rsidRPr="00714871">
        <w:t xml:space="preserve">Is the anion a </w:t>
      </w:r>
      <w:proofErr w:type="spellStart"/>
      <w:r w:rsidRPr="00714871">
        <w:t>sulf</w:t>
      </w:r>
      <w:r>
        <w:t>ate</w:t>
      </w:r>
      <w:proofErr w:type="spellEnd"/>
      <w:r>
        <w:t>?</w:t>
      </w:r>
    </w:p>
    <w:p w:rsidR="007C53C6" w:rsidRPr="00714871" w:rsidRDefault="007C53C6" w:rsidP="007C53C6">
      <w:pPr>
        <w:pStyle w:val="Numberedlist"/>
        <w:ind w:firstLine="68"/>
      </w:pPr>
      <w:r>
        <w:t xml:space="preserve">If so, </w:t>
      </w:r>
      <w:r w:rsidRPr="00B514E4">
        <w:t xml:space="preserve">look </w:t>
      </w:r>
      <w:r w:rsidRPr="00714871">
        <w:t xml:space="preserve">at the metal – barium, calcium, lead? </w:t>
      </w:r>
      <w:r>
        <w:t xml:space="preserve">If so </w:t>
      </w:r>
      <w:proofErr w:type="gramStart"/>
      <w:r>
        <w:rPr>
          <w:rFonts w:ascii="Arial" w:hAnsi="Arial" w:cs="Arial"/>
        </w:rPr>
        <w:t>→</w:t>
      </w:r>
      <w:r w:rsidRPr="00714871">
        <w:t xml:space="preserve">  insoluble</w:t>
      </w:r>
      <w:proofErr w:type="gramEnd"/>
      <w:r>
        <w:t>.</w:t>
      </w:r>
    </w:p>
    <w:p w:rsidR="007C53C6" w:rsidRPr="00714871" w:rsidRDefault="007C53C6" w:rsidP="007C53C6">
      <w:pPr>
        <w:pStyle w:val="Numberedlist"/>
        <w:ind w:firstLine="68"/>
      </w:pPr>
      <w:r w:rsidRPr="00714871">
        <w:t>Is the anion a hydroxide?</w:t>
      </w:r>
    </w:p>
    <w:p w:rsidR="007C53C6" w:rsidRPr="00714871" w:rsidRDefault="007C53C6" w:rsidP="007C53C6">
      <w:pPr>
        <w:pStyle w:val="Numberedlist"/>
        <w:ind w:firstLine="68"/>
      </w:pPr>
      <w:r>
        <w:lastRenderedPageBreak/>
        <w:t xml:space="preserve">If so, </w:t>
      </w:r>
      <w:r w:rsidRPr="00B514E4">
        <w:t xml:space="preserve">look </w:t>
      </w:r>
      <w:r w:rsidRPr="00714871">
        <w:t xml:space="preserve">at the metal </w:t>
      </w:r>
      <w:r w:rsidRPr="00714871">
        <w:rPr>
          <w:rFonts w:eastAsia="MS Mincho"/>
        </w:rPr>
        <w:t>–</w:t>
      </w:r>
      <w:r w:rsidRPr="00714871">
        <w:t xml:space="preserve"> transition metal or </w:t>
      </w:r>
      <w:r w:rsidRPr="00B514E4">
        <w:t>Group</w:t>
      </w:r>
      <w:r>
        <w:t xml:space="preserve"> </w:t>
      </w:r>
      <w:r w:rsidRPr="00B514E4">
        <w:t xml:space="preserve">2 </w:t>
      </w:r>
      <w:r w:rsidRPr="00714871">
        <w:t>(after Ca)?</w:t>
      </w:r>
      <w:r>
        <w:t xml:space="preserve"> </w:t>
      </w:r>
      <w:r>
        <w:br/>
      </w:r>
      <w:r>
        <w:tab/>
        <w:t>If so</w:t>
      </w:r>
      <w:r w:rsidRPr="00714871">
        <w:t xml:space="preserve"> </w:t>
      </w:r>
      <w:proofErr w:type="gramStart"/>
      <w:r>
        <w:rPr>
          <w:rFonts w:ascii="Arial" w:hAnsi="Arial" w:cs="Arial"/>
        </w:rPr>
        <w:t>→</w:t>
      </w:r>
      <w:r w:rsidRPr="00714871">
        <w:t xml:space="preserve">  insoluble</w:t>
      </w:r>
      <w:proofErr w:type="gramEnd"/>
      <w:r>
        <w:t>.</w:t>
      </w:r>
    </w:p>
    <w:p w:rsidR="007C53C6" w:rsidRPr="00750928" w:rsidRDefault="007C53C6" w:rsidP="007C53C6">
      <w:pPr>
        <w:pStyle w:val="textbullets"/>
      </w:pPr>
      <w:r w:rsidRPr="00750928">
        <w:t xml:space="preserve">Split all </w:t>
      </w:r>
      <w:r>
        <w:t xml:space="preserve">the soluble salts into their </w:t>
      </w:r>
      <w:r w:rsidRPr="00750928">
        <w:t>aqueous ions on both sides – remember to write the numbers in front of the ions for multiples.</w:t>
      </w:r>
    </w:p>
    <w:p w:rsidR="007C53C6" w:rsidRPr="00750928" w:rsidRDefault="007C53C6" w:rsidP="007C53C6">
      <w:pPr>
        <w:pStyle w:val="textbullets"/>
      </w:pPr>
      <w:r w:rsidRPr="00750928">
        <w:t>Cancel out the ions that appear on both sides – again pay attention to numbers</w:t>
      </w:r>
      <w:r>
        <w:t>.</w:t>
      </w:r>
    </w:p>
    <w:p w:rsidR="007C53C6" w:rsidRDefault="007C53C6" w:rsidP="007C53C6">
      <w:pPr>
        <w:pStyle w:val="textbullets"/>
      </w:pPr>
      <w:r w:rsidRPr="00750928">
        <w:t>Write your final equation (always keep the state s</w:t>
      </w:r>
      <w:r>
        <w:t>ymbols unless specifically told</w:t>
      </w:r>
      <w:r>
        <w:br/>
      </w:r>
      <w:r w:rsidRPr="00750928">
        <w:t>not to!)</w:t>
      </w:r>
      <w:r>
        <w:t>.</w:t>
      </w:r>
    </w:p>
    <w:p w:rsidR="005E2C27" w:rsidRDefault="007C53C6">
      <w:bookmarkStart w:id="1" w:name="_GoBack"/>
      <w:bookmarkEnd w:id="1"/>
    </w:p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0C07"/>
    <w:multiLevelType w:val="hybridMultilevel"/>
    <w:tmpl w:val="14F2C982"/>
    <w:lvl w:ilvl="0" w:tplc="0FF6B8E6">
      <w:start w:val="1"/>
      <w:numFmt w:val="decimal"/>
      <w:pStyle w:val="Numberedlist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C6"/>
    <w:rsid w:val="00304C80"/>
    <w:rsid w:val="006C7E2C"/>
    <w:rsid w:val="007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EC25D-7C6D-4765-9FA3-6B8D8FF8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next w:val="Normal"/>
    <w:qFormat/>
    <w:rsid w:val="007C53C6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Bhead">
    <w:name w:val="B head"/>
    <w:next w:val="text"/>
    <w:qFormat/>
    <w:rsid w:val="007C53C6"/>
    <w:pPr>
      <w:keepNext/>
      <w:spacing w:before="240" w:after="120" w:line="240" w:lineRule="auto"/>
    </w:pPr>
    <w:rPr>
      <w:rFonts w:ascii="Verdana" w:eastAsia="Times New Roman" w:hAnsi="Verdana" w:cs="Arial"/>
      <w:b/>
      <w:color w:val="BAADD3"/>
      <w:sz w:val="26"/>
      <w:szCs w:val="24"/>
    </w:rPr>
  </w:style>
  <w:style w:type="paragraph" w:customStyle="1" w:styleId="text">
    <w:name w:val="text"/>
    <w:link w:val="textChar"/>
    <w:qFormat/>
    <w:rsid w:val="007C53C6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textbullets">
    <w:name w:val="text bullets"/>
    <w:qFormat/>
    <w:rsid w:val="007C53C6"/>
    <w:pPr>
      <w:numPr>
        <w:numId w:val="1"/>
      </w:num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customStyle="1" w:styleId="Numberedlist">
    <w:name w:val="Numbered list"/>
    <w:qFormat/>
    <w:rsid w:val="007C53C6"/>
    <w:pPr>
      <w:numPr>
        <w:numId w:val="2"/>
      </w:numPr>
      <w:spacing w:before="80" w:after="60" w:line="240" w:lineRule="atLeast"/>
      <w:ind w:left="397" w:hanging="397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Tablehead">
    <w:name w:val="Table head"/>
    <w:next w:val="Tabletext"/>
    <w:qFormat/>
    <w:rsid w:val="007C53C6"/>
    <w:pPr>
      <w:spacing w:before="80" w:after="6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ablesub-head">
    <w:name w:val="Table sub-head"/>
    <w:next w:val="Tabletext"/>
    <w:qFormat/>
    <w:rsid w:val="007C53C6"/>
    <w:pPr>
      <w:spacing w:before="80" w:after="60" w:line="240" w:lineRule="auto"/>
    </w:pPr>
    <w:rPr>
      <w:rFonts w:ascii="Verdana" w:eastAsia="Times New Roman" w:hAnsi="Verdana" w:cs="Arial"/>
      <w:b/>
      <w:sz w:val="20"/>
      <w:szCs w:val="24"/>
    </w:rPr>
  </w:style>
  <w:style w:type="paragraph" w:customStyle="1" w:styleId="Tabletext">
    <w:name w:val="Table text"/>
    <w:rsid w:val="007C53C6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customStyle="1" w:styleId="textChar">
    <w:name w:val="text Char"/>
    <w:link w:val="text"/>
    <w:rsid w:val="007C53C6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1</cp:revision>
  <dcterms:created xsi:type="dcterms:W3CDTF">2020-04-01T16:47:00Z</dcterms:created>
  <dcterms:modified xsi:type="dcterms:W3CDTF">2020-04-01T16:47:00Z</dcterms:modified>
</cp:coreProperties>
</file>